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2AFA8" w14:textId="33CC3E5C" w:rsidR="00C57FBA" w:rsidRPr="00C57FBA" w:rsidRDefault="00000000" w:rsidP="00C57FBA">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B40A5EE">
          <v:rect id="_x0000_i1025" style="width:0;height:1.5pt" o:hralign="center" o:hrstd="t" o:hr="t" fillcolor="#a0a0a0" stroked="f"/>
        </w:pict>
      </w:r>
    </w:p>
    <w:p w14:paraId="4DD988B6" w14:textId="05FF68F8" w:rsidR="00C57FBA" w:rsidRPr="00C57FBA" w:rsidRDefault="00103F5B" w:rsidP="00C57FBA">
      <w:pPr>
        <w:pStyle w:val="Heading1"/>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114300" distR="114300" simplePos="0" relativeHeight="251658240" behindDoc="1" locked="0" layoutInCell="1" allowOverlap="1" wp14:anchorId="7E8458D0" wp14:editId="22F1939E">
            <wp:simplePos x="0" y="0"/>
            <wp:positionH relativeFrom="column">
              <wp:posOffset>5105400</wp:posOffset>
            </wp:positionH>
            <wp:positionV relativeFrom="paragraph">
              <wp:posOffset>236220</wp:posOffset>
            </wp:positionV>
            <wp:extent cx="1303020" cy="1303020"/>
            <wp:effectExtent l="0" t="0" r="0" b="0"/>
            <wp:wrapTight wrapText="bothSides">
              <wp:wrapPolygon edited="0">
                <wp:start x="0" y="0"/>
                <wp:lineTo x="0" y="21158"/>
                <wp:lineTo x="21158" y="21158"/>
                <wp:lineTo x="21158" y="0"/>
                <wp:lineTo x="0" y="0"/>
              </wp:wrapPolygon>
            </wp:wrapTight>
            <wp:docPr id="1470665540" name="Picture 1" descr="A blue and white logo with a bird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65540" name="Picture 1" descr="A blue and white logo with a bird and a heart&#10;&#10;AI-generated content may be incorrect."/>
                    <pic:cNvPicPr/>
                  </pic:nvPicPr>
                  <pic:blipFill>
                    <a:blip r:embed="rId7"/>
                    <a:stretch>
                      <a:fillRect/>
                    </a:stretch>
                  </pic:blipFill>
                  <pic:spPr>
                    <a:xfrm>
                      <a:off x="0" y="0"/>
                      <a:ext cx="1303020" cy="1303020"/>
                    </a:xfrm>
                    <a:prstGeom prst="rect">
                      <a:avLst/>
                    </a:prstGeom>
                  </pic:spPr>
                </pic:pic>
              </a:graphicData>
            </a:graphic>
            <wp14:sizeRelH relativeFrom="page">
              <wp14:pctWidth>0</wp14:pctWidth>
            </wp14:sizeRelH>
            <wp14:sizeRelV relativeFrom="page">
              <wp14:pctHeight>0</wp14:pctHeight>
            </wp14:sizeRelV>
          </wp:anchor>
        </w:drawing>
      </w:r>
      <w:r w:rsidR="00C57FBA" w:rsidRPr="00C57FBA">
        <w:rPr>
          <w:rFonts w:ascii="Times New Roman" w:hAnsi="Times New Roman" w:cs="Times New Roman"/>
          <w:color w:val="auto"/>
          <w:sz w:val="24"/>
          <w:szCs w:val="24"/>
        </w:rPr>
        <w:t>Article I – Name and Purpose</w:t>
      </w:r>
    </w:p>
    <w:p w14:paraId="2D5E8F4D" w14:textId="7A83E4A6"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hAnsi="Times New Roman" w:cs="Times New Roman"/>
          <w:color w:val="auto"/>
          <w:sz w:val="24"/>
          <w:szCs w:val="24"/>
        </w:rPr>
        <w:t>Section 1 – Name:</w:t>
      </w:r>
      <w:r w:rsidRPr="00C57FBA">
        <w:rPr>
          <w:rFonts w:ascii="Times New Roman" w:eastAsia="Times New Roman" w:hAnsi="Times New Roman" w:cs="Times New Roman"/>
          <w:color w:val="auto"/>
          <w:sz w:val="24"/>
          <w:szCs w:val="24"/>
        </w:rPr>
        <w:br/>
      </w:r>
      <w:r w:rsidRPr="00C57FBA">
        <w:rPr>
          <w:rStyle w:val="Heading3Char"/>
          <w:rFonts w:ascii="Times New Roman" w:hAnsi="Times New Roman" w:cs="Times New Roman"/>
          <w:color w:val="auto"/>
          <w:sz w:val="24"/>
          <w:szCs w:val="24"/>
        </w:rPr>
        <w:t xml:space="preserve">The name of the organization shall be </w:t>
      </w:r>
      <w:r w:rsidR="0054471E">
        <w:rPr>
          <w:rStyle w:val="Heading3Char"/>
          <w:rFonts w:ascii="Times New Roman" w:hAnsi="Times New Roman" w:cs="Times New Roman"/>
          <w:color w:val="auto"/>
          <w:sz w:val="24"/>
          <w:szCs w:val="24"/>
        </w:rPr>
        <w:t>t</w:t>
      </w:r>
      <w:r w:rsidRPr="00C57FBA">
        <w:rPr>
          <w:rStyle w:val="Heading3Char"/>
          <w:rFonts w:ascii="Times New Roman" w:hAnsi="Times New Roman" w:cs="Times New Roman"/>
          <w:color w:val="auto"/>
          <w:sz w:val="24"/>
          <w:szCs w:val="24"/>
        </w:rPr>
        <w:t>he Betty Erickson Carey Foundation.</w:t>
      </w:r>
    </w:p>
    <w:p w14:paraId="1FAC4701" w14:textId="064AD424"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hAnsi="Times New Roman" w:cs="Times New Roman"/>
          <w:color w:val="auto"/>
          <w:sz w:val="24"/>
          <w:szCs w:val="24"/>
        </w:rPr>
        <w:t>Section 2 – Purpose:</w:t>
      </w:r>
      <w:r w:rsidRPr="00C57FBA">
        <w:rPr>
          <w:rFonts w:ascii="Times New Roman" w:eastAsia="Times New Roman" w:hAnsi="Times New Roman" w:cs="Times New Roman"/>
          <w:color w:val="auto"/>
          <w:sz w:val="24"/>
          <w:szCs w:val="24"/>
        </w:rPr>
        <w:br/>
      </w:r>
      <w:r w:rsidRPr="00C57FBA">
        <w:rPr>
          <w:rStyle w:val="Heading3Char"/>
          <w:rFonts w:ascii="Times New Roman" w:hAnsi="Times New Roman" w:cs="Times New Roman"/>
          <w:color w:val="auto"/>
          <w:sz w:val="24"/>
          <w:szCs w:val="24"/>
        </w:rPr>
        <w:t>The Foundation is organized exclusively for charitable, educational, civic, and community-enriching purposes in accordance with Section 501(c)(3) of the Internal Revenue Code and the Illinois General Not for Profit Corporation Act, including but not limited to:</w:t>
      </w:r>
    </w:p>
    <w:p w14:paraId="2F2CB686" w14:textId="77777777" w:rsidR="00C57FBA" w:rsidRPr="00C57FBA" w:rsidRDefault="00C57FBA" w:rsidP="00C57FBA">
      <w:pPr>
        <w:pStyle w:val="Heading4"/>
        <w:numPr>
          <w:ilvl w:val="0"/>
          <w:numId w:val="10"/>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color w:val="auto"/>
        </w:rPr>
        <w:t>Honoring and preserving the legacy of Betty Erickson Carey.</w:t>
      </w:r>
    </w:p>
    <w:p w14:paraId="6162FF41" w14:textId="77777777" w:rsidR="00C57FBA" w:rsidRPr="00C57FBA" w:rsidRDefault="00C57FBA" w:rsidP="00C57FBA">
      <w:pPr>
        <w:pStyle w:val="Heading4"/>
        <w:numPr>
          <w:ilvl w:val="0"/>
          <w:numId w:val="10"/>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color w:val="auto"/>
        </w:rPr>
        <w:t>Promoting arts, crafts, caregiving, and community service programs.</w:t>
      </w:r>
    </w:p>
    <w:p w14:paraId="2DE752E1" w14:textId="77777777" w:rsidR="00C57FBA" w:rsidRPr="00C57FBA" w:rsidRDefault="00C57FBA" w:rsidP="00C57FBA">
      <w:pPr>
        <w:pStyle w:val="Heading4"/>
        <w:numPr>
          <w:ilvl w:val="0"/>
          <w:numId w:val="10"/>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color w:val="auto"/>
        </w:rPr>
        <w:t>Hosting the “Under the Big Top” festival and other community events.</w:t>
      </w:r>
    </w:p>
    <w:p w14:paraId="1E635BA8" w14:textId="1C454D3C" w:rsidR="00C57FBA" w:rsidRPr="00C57FBA" w:rsidRDefault="00C57FBA" w:rsidP="00C57FBA">
      <w:pPr>
        <w:pStyle w:val="Heading4"/>
        <w:numPr>
          <w:ilvl w:val="0"/>
          <w:numId w:val="10"/>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color w:val="auto"/>
        </w:rPr>
        <w:t>Providing public education, including CPR and Stop the Bleed training</w:t>
      </w:r>
      <w:r>
        <w:rPr>
          <w:rFonts w:ascii="Times New Roman" w:eastAsia="Times New Roman" w:hAnsi="Times New Roman" w:cs="Times New Roman"/>
          <w:color w:val="auto"/>
        </w:rPr>
        <w:t>, to promote</w:t>
      </w:r>
      <w:r w:rsidRPr="00C57FBA">
        <w:rPr>
          <w:rFonts w:ascii="Times New Roman" w:eastAsia="Times New Roman" w:hAnsi="Times New Roman" w:cs="Times New Roman"/>
          <w:color w:val="auto"/>
        </w:rPr>
        <w:t xml:space="preserve"> community safety and awareness.</w:t>
      </w:r>
    </w:p>
    <w:p w14:paraId="322621F8" w14:textId="47EB3501" w:rsidR="00C57FBA" w:rsidRPr="00C57FBA" w:rsidRDefault="00C57FBA" w:rsidP="00C57FBA">
      <w:pPr>
        <w:pStyle w:val="Heading4"/>
        <w:numPr>
          <w:ilvl w:val="0"/>
          <w:numId w:val="10"/>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color w:val="auto"/>
        </w:rPr>
        <w:t xml:space="preserve">Supporting the development of future caregivers and first responders through scholarships for students pursuing careers in nursing, EMS, or firefighting. Applicants must submit an essay detailing their passion for the field, and </w:t>
      </w:r>
      <w:r>
        <w:rPr>
          <w:rFonts w:ascii="Times New Roman" w:eastAsia="Times New Roman" w:hAnsi="Times New Roman" w:cs="Times New Roman"/>
          <w:color w:val="auto"/>
        </w:rPr>
        <w:t>a vote of the board will approve scholarship awards</w:t>
      </w:r>
      <w:r w:rsidRPr="00C57FBA">
        <w:rPr>
          <w:rFonts w:ascii="Times New Roman" w:eastAsia="Times New Roman" w:hAnsi="Times New Roman" w:cs="Times New Roman"/>
          <w:color w:val="auto"/>
        </w:rPr>
        <w:t>.</w:t>
      </w:r>
    </w:p>
    <w:p w14:paraId="7BF1F5B1" w14:textId="77777777" w:rsidR="00C57FBA" w:rsidRPr="00C57FBA" w:rsidRDefault="00C57FBA" w:rsidP="00C57FBA">
      <w:pPr>
        <w:pStyle w:val="Heading1"/>
        <w:spacing w:line="480" w:lineRule="auto"/>
        <w:rPr>
          <w:rFonts w:ascii="Times New Roman" w:hAnsi="Times New Roman" w:cs="Times New Roman"/>
          <w:color w:val="auto"/>
          <w:sz w:val="24"/>
          <w:szCs w:val="24"/>
        </w:rPr>
      </w:pPr>
      <w:r w:rsidRPr="00C57FBA">
        <w:rPr>
          <w:rFonts w:ascii="Times New Roman" w:hAnsi="Times New Roman" w:cs="Times New Roman"/>
          <w:color w:val="auto"/>
          <w:sz w:val="24"/>
          <w:szCs w:val="24"/>
        </w:rPr>
        <w:t>Article II – Board of Directors</w:t>
      </w:r>
    </w:p>
    <w:p w14:paraId="0C6B75E6" w14:textId="60432FE7"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1 – Composition:</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 xml:space="preserve">The Foundation shall have ten (10) board members. </w:t>
      </w:r>
      <w:r>
        <w:rPr>
          <w:rStyle w:val="Heading3Char"/>
          <w:rFonts w:ascii="Times New Roman" w:hAnsi="Times New Roman" w:cs="Times New Roman"/>
          <w:color w:val="auto"/>
          <w:sz w:val="24"/>
          <w:szCs w:val="24"/>
        </w:rPr>
        <w:t>A direct family member of Betty Erickson Carey shall always hold a minimum of one board seat</w:t>
      </w:r>
      <w:r w:rsidRPr="00C57FBA">
        <w:rPr>
          <w:rStyle w:val="Heading3Char"/>
          <w:rFonts w:ascii="Times New Roman" w:hAnsi="Times New Roman" w:cs="Times New Roman"/>
          <w:color w:val="auto"/>
          <w:sz w:val="24"/>
          <w:szCs w:val="24"/>
        </w:rPr>
        <w:t>.</w:t>
      </w:r>
    </w:p>
    <w:p w14:paraId="1196AFEE" w14:textId="77777777"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lastRenderedPageBreak/>
        <w:t>Section 2 – Roles and Duties:</w:t>
      </w:r>
    </w:p>
    <w:p w14:paraId="5CE7F9DA" w14:textId="77777777" w:rsidR="00C57FBA" w:rsidRPr="00C57FBA" w:rsidRDefault="00C57FBA" w:rsidP="00C57FBA">
      <w:pPr>
        <w:pStyle w:val="Heading4"/>
        <w:numPr>
          <w:ilvl w:val="0"/>
          <w:numId w:val="7"/>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b/>
          <w:bCs/>
          <w:color w:val="auto"/>
        </w:rPr>
        <w:t>President</w:t>
      </w:r>
      <w:r w:rsidRPr="00C57FBA">
        <w:rPr>
          <w:rFonts w:ascii="Times New Roman" w:eastAsia="Times New Roman" w:hAnsi="Times New Roman" w:cs="Times New Roman"/>
          <w:color w:val="auto"/>
        </w:rPr>
        <w:t xml:space="preserve"> – Oversees all operations and chairs meetings.</w:t>
      </w:r>
    </w:p>
    <w:p w14:paraId="4A690978" w14:textId="77777777" w:rsidR="00C57FBA" w:rsidRPr="00C57FBA" w:rsidRDefault="00C57FBA" w:rsidP="00C57FBA">
      <w:pPr>
        <w:pStyle w:val="Heading4"/>
        <w:numPr>
          <w:ilvl w:val="0"/>
          <w:numId w:val="7"/>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b/>
          <w:bCs/>
          <w:color w:val="auto"/>
        </w:rPr>
        <w:t>Vice President</w:t>
      </w:r>
      <w:r w:rsidRPr="00C57FBA">
        <w:rPr>
          <w:rFonts w:ascii="Times New Roman" w:eastAsia="Times New Roman" w:hAnsi="Times New Roman" w:cs="Times New Roman"/>
          <w:color w:val="auto"/>
        </w:rPr>
        <w:t xml:space="preserve"> – Assists the President; assumes duties in their absence.</w:t>
      </w:r>
    </w:p>
    <w:p w14:paraId="3939B86B" w14:textId="76925FCA" w:rsidR="00C57FBA" w:rsidRPr="0054471E" w:rsidRDefault="0054471E" w:rsidP="0054471E">
      <w:pPr>
        <w:pStyle w:val="Heading4"/>
        <w:numPr>
          <w:ilvl w:val="0"/>
          <w:numId w:val="7"/>
        </w:numPr>
        <w:spacing w:line="480" w:lineRule="auto"/>
        <w:rPr>
          <w:rFonts w:ascii="Times New Roman" w:eastAsia="Times New Roman" w:hAnsi="Times New Roman" w:cs="Times New Roman"/>
          <w:color w:val="auto"/>
        </w:rPr>
      </w:pPr>
      <w:r>
        <w:rPr>
          <w:rFonts w:ascii="Times New Roman" w:eastAsia="Times New Roman" w:hAnsi="Times New Roman" w:cs="Times New Roman"/>
          <w:b/>
          <w:bCs/>
          <w:color w:val="auto"/>
        </w:rPr>
        <w:t>Secretary-Treasurer</w:t>
      </w:r>
      <w:r w:rsidR="00C57FBA" w:rsidRPr="00C57FBA">
        <w:rPr>
          <w:rFonts w:ascii="Times New Roman" w:eastAsia="Times New Roman" w:hAnsi="Times New Roman" w:cs="Times New Roman"/>
          <w:color w:val="auto"/>
        </w:rPr>
        <w:t xml:space="preserve"> – Maintains records, meeting minutes, and official </w:t>
      </w:r>
      <w:r w:rsidRPr="00C57FBA">
        <w:rPr>
          <w:rFonts w:ascii="Times New Roman" w:eastAsia="Times New Roman" w:hAnsi="Times New Roman" w:cs="Times New Roman"/>
          <w:color w:val="auto"/>
        </w:rPr>
        <w:t>documents.</w:t>
      </w:r>
      <w:r w:rsidRPr="0054471E">
        <w:rPr>
          <w:rFonts w:ascii="Times New Roman" w:eastAsia="Times New Roman" w:hAnsi="Times New Roman" w:cs="Times New Roman"/>
          <w:color w:val="auto"/>
        </w:rPr>
        <w:t xml:space="preserve"> </w:t>
      </w:r>
      <w:proofErr w:type="gramStart"/>
      <w:r w:rsidRPr="0054471E">
        <w:rPr>
          <w:rFonts w:ascii="Times New Roman" w:eastAsia="Times New Roman" w:hAnsi="Times New Roman" w:cs="Times New Roman"/>
          <w:color w:val="auto"/>
        </w:rPr>
        <w:t>Manages</w:t>
      </w:r>
      <w:proofErr w:type="gramEnd"/>
      <w:r w:rsidR="00C57FBA" w:rsidRPr="0054471E">
        <w:rPr>
          <w:rFonts w:ascii="Times New Roman" w:eastAsia="Times New Roman" w:hAnsi="Times New Roman" w:cs="Times New Roman"/>
          <w:color w:val="auto"/>
        </w:rPr>
        <w:t xml:space="preserve"> finances, budgeting, and filings.</w:t>
      </w:r>
    </w:p>
    <w:p w14:paraId="7664AF8B" w14:textId="5BA9064C" w:rsidR="00C57FBA" w:rsidRPr="00C57FBA" w:rsidRDefault="00C57FBA" w:rsidP="00C57FBA">
      <w:pPr>
        <w:pStyle w:val="Heading4"/>
        <w:numPr>
          <w:ilvl w:val="0"/>
          <w:numId w:val="7"/>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b/>
          <w:bCs/>
          <w:color w:val="auto"/>
        </w:rPr>
        <w:t>Director of Community Engagement</w:t>
      </w:r>
      <w:r w:rsidRPr="00C57FBA">
        <w:rPr>
          <w:rFonts w:ascii="Times New Roman" w:eastAsia="Times New Roman" w:hAnsi="Times New Roman" w:cs="Times New Roman"/>
          <w:color w:val="auto"/>
        </w:rPr>
        <w:t xml:space="preserve"> – Coordinates with the public and </w:t>
      </w:r>
      <w:r>
        <w:rPr>
          <w:rFonts w:ascii="Times New Roman" w:eastAsia="Times New Roman" w:hAnsi="Times New Roman" w:cs="Times New Roman"/>
          <w:color w:val="auto"/>
        </w:rPr>
        <w:t xml:space="preserve">the </w:t>
      </w:r>
      <w:r w:rsidRPr="00C57FBA">
        <w:rPr>
          <w:rFonts w:ascii="Times New Roman" w:eastAsia="Times New Roman" w:hAnsi="Times New Roman" w:cs="Times New Roman"/>
          <w:color w:val="auto"/>
        </w:rPr>
        <w:t>city.</w:t>
      </w:r>
    </w:p>
    <w:p w14:paraId="0FAF5D10" w14:textId="77777777" w:rsidR="00C57FBA" w:rsidRPr="00C57FBA" w:rsidRDefault="00C57FBA" w:rsidP="00C57FBA">
      <w:pPr>
        <w:pStyle w:val="Heading4"/>
        <w:numPr>
          <w:ilvl w:val="0"/>
          <w:numId w:val="7"/>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b/>
          <w:bCs/>
          <w:color w:val="auto"/>
        </w:rPr>
        <w:t>Director of Events</w:t>
      </w:r>
      <w:r w:rsidRPr="00C57FBA">
        <w:rPr>
          <w:rFonts w:ascii="Times New Roman" w:eastAsia="Times New Roman" w:hAnsi="Times New Roman" w:cs="Times New Roman"/>
          <w:color w:val="auto"/>
        </w:rPr>
        <w:t xml:space="preserve"> – Manages logistics for all events.</w:t>
      </w:r>
    </w:p>
    <w:p w14:paraId="5591E223" w14:textId="0490387D" w:rsidR="00C57FBA" w:rsidRPr="00C57FBA" w:rsidRDefault="00C57FBA" w:rsidP="00C57FBA">
      <w:pPr>
        <w:pStyle w:val="Heading4"/>
        <w:numPr>
          <w:ilvl w:val="0"/>
          <w:numId w:val="7"/>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b/>
          <w:bCs/>
          <w:color w:val="auto"/>
        </w:rPr>
        <w:t xml:space="preserve">Director of </w:t>
      </w:r>
      <w:r w:rsidR="0054471E">
        <w:rPr>
          <w:rFonts w:ascii="Times New Roman" w:eastAsia="Times New Roman" w:hAnsi="Times New Roman" w:cs="Times New Roman"/>
          <w:b/>
          <w:bCs/>
          <w:color w:val="auto"/>
        </w:rPr>
        <w:t>Partnerships</w:t>
      </w:r>
      <w:r w:rsidRPr="00C57FBA">
        <w:rPr>
          <w:rFonts w:ascii="Times New Roman" w:eastAsia="Times New Roman" w:hAnsi="Times New Roman" w:cs="Times New Roman"/>
          <w:color w:val="auto"/>
        </w:rPr>
        <w:t xml:space="preserve"> – Leads fundraising strategy.</w:t>
      </w:r>
    </w:p>
    <w:p w14:paraId="589D42D0" w14:textId="77777777" w:rsidR="00C57FBA" w:rsidRPr="00C57FBA" w:rsidRDefault="00C57FBA" w:rsidP="00C57FBA">
      <w:pPr>
        <w:pStyle w:val="Heading4"/>
        <w:numPr>
          <w:ilvl w:val="0"/>
          <w:numId w:val="7"/>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b/>
          <w:bCs/>
          <w:color w:val="auto"/>
        </w:rPr>
        <w:t>Director of Outreach</w:t>
      </w:r>
      <w:r w:rsidRPr="00C57FBA">
        <w:rPr>
          <w:rFonts w:ascii="Times New Roman" w:eastAsia="Times New Roman" w:hAnsi="Times New Roman" w:cs="Times New Roman"/>
          <w:color w:val="auto"/>
        </w:rPr>
        <w:t xml:space="preserve"> – Expands partnerships and volunteer base.</w:t>
      </w:r>
    </w:p>
    <w:p w14:paraId="24190732" w14:textId="77777777" w:rsidR="00C57FBA" w:rsidRPr="00C57FBA" w:rsidRDefault="00C57FBA" w:rsidP="00C57FBA">
      <w:pPr>
        <w:pStyle w:val="Heading4"/>
        <w:numPr>
          <w:ilvl w:val="0"/>
          <w:numId w:val="7"/>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b/>
          <w:bCs/>
          <w:color w:val="auto"/>
        </w:rPr>
        <w:t>At-Large Members (2)</w:t>
      </w:r>
      <w:r w:rsidRPr="00C57FBA">
        <w:rPr>
          <w:rFonts w:ascii="Times New Roman" w:eastAsia="Times New Roman" w:hAnsi="Times New Roman" w:cs="Times New Roman"/>
          <w:color w:val="auto"/>
        </w:rPr>
        <w:t xml:space="preserve"> – Support general operations and fill temporary needs.</w:t>
      </w:r>
    </w:p>
    <w:p w14:paraId="6F35D6A3" w14:textId="77777777"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3 – Terms and Elections:</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Each director shall serve a two-year term, renewable by board vote. Family members may serve indefinite terms, preserving the legacy and intent of the foundation.</w:t>
      </w:r>
    </w:p>
    <w:p w14:paraId="7F78245F" w14:textId="2AE0FC8E"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4 – Quorum and Voting:</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 xml:space="preserve">A quorum shall consist of </w:t>
      </w:r>
      <w:r w:rsidR="0054471E">
        <w:rPr>
          <w:rStyle w:val="Heading3Char"/>
          <w:rFonts w:ascii="Times New Roman" w:hAnsi="Times New Roman" w:cs="Times New Roman"/>
          <w:color w:val="auto"/>
          <w:sz w:val="24"/>
          <w:szCs w:val="24"/>
        </w:rPr>
        <w:t>five</w:t>
      </w:r>
      <w:r w:rsidRPr="00C57FBA">
        <w:rPr>
          <w:rStyle w:val="Heading3Char"/>
          <w:rFonts w:ascii="Times New Roman" w:hAnsi="Times New Roman" w:cs="Times New Roman"/>
          <w:color w:val="auto"/>
          <w:sz w:val="24"/>
          <w:szCs w:val="24"/>
        </w:rPr>
        <w:t xml:space="preserve"> members. All decisions require a majority vote of those present</w:t>
      </w:r>
      <w:r w:rsidR="0054471E">
        <w:rPr>
          <w:rStyle w:val="Heading3Char"/>
          <w:rFonts w:ascii="Times New Roman" w:hAnsi="Times New Roman" w:cs="Times New Roman"/>
          <w:color w:val="auto"/>
          <w:sz w:val="24"/>
          <w:szCs w:val="24"/>
        </w:rPr>
        <w:t xml:space="preserve">, unless otherwise stated. There will be no proxy voting accepted; however, digital acceptances will be allowed for appearances via Zoom, Skype, etc. </w:t>
      </w:r>
    </w:p>
    <w:p w14:paraId="3F1845C6"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29C3072">
          <v:rect id="_x0000_i1026" style="width:0;height:1.5pt" o:hralign="center" o:hrstd="t" o:hr="t" fillcolor="#a0a0a0" stroked="f"/>
        </w:pict>
      </w:r>
    </w:p>
    <w:p w14:paraId="2139A11C"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lastRenderedPageBreak/>
        <w:t>Article III – Family Representation and Legacy Clause</w:t>
      </w:r>
    </w:p>
    <w:p w14:paraId="3AE68364" w14:textId="77777777"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To maintain the spirit and continuity of Betty Erickson Carey’s vision:</w:t>
      </w:r>
    </w:p>
    <w:p w14:paraId="384B7376" w14:textId="77777777"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 xml:space="preserve">A family representative must be present at all official meetings and shall have final </w:t>
      </w:r>
      <w:proofErr w:type="gramStart"/>
      <w:r w:rsidRPr="00C57FBA">
        <w:rPr>
          <w:rFonts w:ascii="Times New Roman" w:eastAsia="Times New Roman" w:hAnsi="Times New Roman" w:cs="Times New Roman"/>
          <w:color w:val="auto"/>
          <w:sz w:val="24"/>
          <w:szCs w:val="24"/>
        </w:rPr>
        <w:t>tie</w:t>
      </w:r>
      <w:proofErr w:type="gramEnd"/>
      <w:r w:rsidRPr="00C57FBA">
        <w:rPr>
          <w:rFonts w:ascii="Times New Roman" w:eastAsia="Times New Roman" w:hAnsi="Times New Roman" w:cs="Times New Roman"/>
          <w:color w:val="auto"/>
          <w:sz w:val="24"/>
          <w:szCs w:val="24"/>
        </w:rPr>
        <w:t>-breaking authority.</w:t>
      </w:r>
    </w:p>
    <w:p w14:paraId="4199516E" w14:textId="7DC7CC96"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 xml:space="preserve">The Foundation may not alter this clause without </w:t>
      </w:r>
      <w:r>
        <w:rPr>
          <w:rFonts w:ascii="Times New Roman" w:eastAsia="Times New Roman" w:hAnsi="Times New Roman" w:cs="Times New Roman"/>
          <w:color w:val="auto"/>
          <w:sz w:val="24"/>
          <w:szCs w:val="24"/>
        </w:rPr>
        <w:t xml:space="preserve">the </w:t>
      </w:r>
      <w:r w:rsidRPr="00C57FBA">
        <w:rPr>
          <w:rFonts w:ascii="Times New Roman" w:eastAsia="Times New Roman" w:hAnsi="Times New Roman" w:cs="Times New Roman"/>
          <w:color w:val="auto"/>
          <w:sz w:val="24"/>
          <w:szCs w:val="24"/>
        </w:rPr>
        <w:t>unanimous consent of all living family board members.</w:t>
      </w:r>
    </w:p>
    <w:p w14:paraId="31D5C174"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CFB762E">
          <v:rect id="_x0000_i1027" style="width:0;height:1.5pt" o:hralign="center" o:hrstd="t" o:hr="t" fillcolor="#a0a0a0" stroked="f"/>
        </w:pict>
      </w:r>
    </w:p>
    <w:p w14:paraId="706B4678"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Article IV – Conflict of Interest</w:t>
      </w:r>
    </w:p>
    <w:p w14:paraId="5E7B66CC" w14:textId="77777777"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1 – Policy:</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Any board member with a personal, financial, or professional interest in matters before the board must:</w:t>
      </w:r>
    </w:p>
    <w:p w14:paraId="3F238E08" w14:textId="77777777" w:rsidR="00C57FBA" w:rsidRPr="00C57FBA" w:rsidRDefault="00C57FBA" w:rsidP="00C57FBA">
      <w:pPr>
        <w:pStyle w:val="Heading4"/>
        <w:numPr>
          <w:ilvl w:val="0"/>
          <w:numId w:val="8"/>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color w:val="auto"/>
        </w:rPr>
        <w:t>Disclose the nature of the conflict.</w:t>
      </w:r>
    </w:p>
    <w:p w14:paraId="520C8E4A" w14:textId="77777777" w:rsidR="00C57FBA" w:rsidRPr="00C57FBA" w:rsidRDefault="00C57FBA" w:rsidP="00C57FBA">
      <w:pPr>
        <w:pStyle w:val="Heading4"/>
        <w:numPr>
          <w:ilvl w:val="0"/>
          <w:numId w:val="8"/>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color w:val="auto"/>
        </w:rPr>
        <w:t>Abstain from voting on related issues.</w:t>
      </w:r>
    </w:p>
    <w:p w14:paraId="46BB8E5D" w14:textId="77777777" w:rsidR="00C57FBA" w:rsidRPr="00C57FBA" w:rsidRDefault="00C57FBA" w:rsidP="00C57FBA">
      <w:pPr>
        <w:pStyle w:val="Heading4"/>
        <w:numPr>
          <w:ilvl w:val="0"/>
          <w:numId w:val="8"/>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color w:val="auto"/>
        </w:rPr>
        <w:t>Be recused from discussion if requested by the board.</w:t>
      </w:r>
    </w:p>
    <w:p w14:paraId="24516BB1" w14:textId="77777777"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2 – City Officials:</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City council members serving on the board must:</w:t>
      </w:r>
    </w:p>
    <w:p w14:paraId="629D19F9" w14:textId="77777777" w:rsidR="00C57FBA" w:rsidRPr="00C57FBA" w:rsidRDefault="00C57FBA" w:rsidP="00C57FBA">
      <w:pPr>
        <w:pStyle w:val="Heading4"/>
        <w:numPr>
          <w:ilvl w:val="0"/>
          <w:numId w:val="9"/>
        </w:numPr>
        <w:spacing w:line="480" w:lineRule="auto"/>
        <w:rPr>
          <w:rFonts w:ascii="Times New Roman" w:eastAsia="Times New Roman" w:hAnsi="Times New Roman" w:cs="Times New Roman"/>
          <w:color w:val="auto"/>
        </w:rPr>
      </w:pPr>
      <w:r w:rsidRPr="00C57FBA">
        <w:rPr>
          <w:rFonts w:ascii="Times New Roman" w:eastAsia="Times New Roman" w:hAnsi="Times New Roman" w:cs="Times New Roman"/>
          <w:color w:val="auto"/>
        </w:rPr>
        <w:t>Recuse themselves from any discussions or votes that could involve city funding, partnerships, or policymaking to ensure compliance with local ethics laws.</w:t>
      </w:r>
    </w:p>
    <w:p w14:paraId="3FFA59E5"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5F1AAB6">
          <v:rect id="_x0000_i1028" style="width:0;height:1.5pt" o:hralign="center" o:hrstd="t" o:hr="t" fillcolor="#a0a0a0" stroked="f"/>
        </w:pict>
      </w:r>
    </w:p>
    <w:p w14:paraId="02578A60"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lastRenderedPageBreak/>
        <w:t>Article V – Meetings</w:t>
      </w:r>
    </w:p>
    <w:p w14:paraId="736432BA" w14:textId="77777777"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The board shall meet at least quarterly. The President or any three directors may call special meetings with five (5) days’ notice. Meeting agendas and approved minutes shall be posted on the Foundation’s website to promote transparency. Minutes shall be maintained in accordance with the Illinois Open Meetings Act, to the extent applicable, and made accessible to the public via the Foundation’s official website within a reasonable time frame following each meeting.</w:t>
      </w:r>
    </w:p>
    <w:p w14:paraId="65FB1011"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32EE675">
          <v:rect id="_x0000_i1029" style="width:0;height:1.5pt" o:hralign="center" o:hrstd="t" o:hr="t" fillcolor="#a0a0a0" stroked="f"/>
        </w:pict>
      </w:r>
    </w:p>
    <w:p w14:paraId="6BA44EBD"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Article VI – Conduct, Disputes, and Ethics</w:t>
      </w:r>
    </w:p>
    <w:p w14:paraId="196D9E73" w14:textId="77777777"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1 – Board Disputes:</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Should conflict arise among board members that impedes the Foundation’s function, a special meeting shall be called to mediate the issue. The President and Vice President shall act as facilitators, or an independent third-party mediator may be appointed. A majority vote may be used to resolve disputes.</w:t>
      </w:r>
    </w:p>
    <w:p w14:paraId="1D6469F0" w14:textId="2024058E"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2 – Misconduct:</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 xml:space="preserve">Board members found to </w:t>
      </w:r>
      <w:r>
        <w:rPr>
          <w:rStyle w:val="Heading3Char"/>
          <w:rFonts w:ascii="Times New Roman" w:hAnsi="Times New Roman" w:cs="Times New Roman"/>
          <w:color w:val="auto"/>
          <w:sz w:val="24"/>
          <w:szCs w:val="24"/>
        </w:rPr>
        <w:t>have engaged in unethical, illegal, or harmful conduct, including the misuse of Foundation funds, abusive behavior, or public defamation of the Foundation,</w:t>
      </w:r>
      <w:r w:rsidRPr="00C57FBA">
        <w:rPr>
          <w:rStyle w:val="Heading3Char"/>
          <w:rFonts w:ascii="Times New Roman" w:hAnsi="Times New Roman" w:cs="Times New Roman"/>
          <w:color w:val="auto"/>
          <w:sz w:val="24"/>
          <w:szCs w:val="24"/>
        </w:rPr>
        <w:t xml:space="preserve"> may be removed by a two-thirds vote of the board, following written notice</w:t>
      </w:r>
      <w:r w:rsidR="0054471E">
        <w:rPr>
          <w:rStyle w:val="Heading3Char"/>
          <w:rFonts w:ascii="Times New Roman" w:hAnsi="Times New Roman" w:cs="Times New Roman"/>
          <w:color w:val="auto"/>
          <w:sz w:val="24"/>
          <w:szCs w:val="24"/>
        </w:rPr>
        <w:t xml:space="preserve"> within 72 hours of the violation</w:t>
      </w:r>
      <w:r w:rsidRPr="00C57FBA">
        <w:rPr>
          <w:rStyle w:val="Heading3Char"/>
          <w:rFonts w:ascii="Times New Roman" w:hAnsi="Times New Roman" w:cs="Times New Roman"/>
          <w:color w:val="auto"/>
          <w:sz w:val="24"/>
          <w:szCs w:val="24"/>
        </w:rPr>
        <w:t xml:space="preserve"> and an opportunity to be heard</w:t>
      </w:r>
      <w:r w:rsidR="0054471E">
        <w:rPr>
          <w:rStyle w:val="Heading3Char"/>
          <w:rFonts w:ascii="Times New Roman" w:hAnsi="Times New Roman" w:cs="Times New Roman"/>
          <w:color w:val="auto"/>
          <w:sz w:val="24"/>
          <w:szCs w:val="24"/>
        </w:rPr>
        <w:t xml:space="preserve"> by the board the evidences will be presented and a private session will be held to vote on the misconduct.</w:t>
      </w:r>
    </w:p>
    <w:p w14:paraId="3040CC98" w14:textId="095AE518"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3 – Ethics Policy:</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 xml:space="preserve">All board members shall adhere to a code of ethics, which includes acting in the best interest of </w:t>
      </w:r>
      <w:r w:rsidRPr="00C57FBA">
        <w:rPr>
          <w:rStyle w:val="Heading3Char"/>
          <w:rFonts w:ascii="Times New Roman" w:hAnsi="Times New Roman" w:cs="Times New Roman"/>
          <w:color w:val="auto"/>
          <w:sz w:val="24"/>
          <w:szCs w:val="24"/>
        </w:rPr>
        <w:lastRenderedPageBreak/>
        <w:t xml:space="preserve">the Foundation, avoiding personal gain from Foundation activities, and maintaining </w:t>
      </w:r>
      <w:r>
        <w:rPr>
          <w:rStyle w:val="Heading3Char"/>
          <w:rFonts w:ascii="Times New Roman" w:hAnsi="Times New Roman" w:cs="Times New Roman"/>
          <w:color w:val="auto"/>
          <w:sz w:val="24"/>
          <w:szCs w:val="24"/>
        </w:rPr>
        <w:t xml:space="preserve">the highest standards of </w:t>
      </w:r>
      <w:r w:rsidRPr="00C57FBA">
        <w:rPr>
          <w:rStyle w:val="Heading3Char"/>
          <w:rFonts w:ascii="Times New Roman" w:hAnsi="Times New Roman" w:cs="Times New Roman"/>
          <w:color w:val="auto"/>
          <w:sz w:val="24"/>
          <w:szCs w:val="24"/>
        </w:rPr>
        <w:t>professionalism and confidentiality.</w:t>
      </w:r>
    </w:p>
    <w:p w14:paraId="40F5A3BB"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94BBDEB">
          <v:rect id="_x0000_i1030" style="width:0;height:1.5pt" o:hralign="center" o:hrstd="t" o:hr="t" fillcolor="#a0a0a0" stroked="f"/>
        </w:pict>
      </w:r>
    </w:p>
    <w:p w14:paraId="2A9725D6"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Article VII – Amendments</w:t>
      </w:r>
    </w:p>
    <w:p w14:paraId="0393419C" w14:textId="450B3BFF"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proofErr w:type="gramStart"/>
      <w:r>
        <w:rPr>
          <w:rFonts w:ascii="Times New Roman" w:eastAsia="Times New Roman" w:hAnsi="Times New Roman" w:cs="Times New Roman"/>
          <w:color w:val="auto"/>
          <w:sz w:val="24"/>
          <w:szCs w:val="24"/>
        </w:rPr>
        <w:t>A two</w:t>
      </w:r>
      <w:proofErr w:type="gramEnd"/>
      <w:r>
        <w:rPr>
          <w:rFonts w:ascii="Times New Roman" w:eastAsia="Times New Roman" w:hAnsi="Times New Roman" w:cs="Times New Roman"/>
          <w:color w:val="auto"/>
          <w:sz w:val="24"/>
          <w:szCs w:val="24"/>
        </w:rPr>
        <w:t>-thirds vote of the board may amend these bylaws</w:t>
      </w:r>
      <w:r w:rsidRPr="00C57FBA">
        <w:rPr>
          <w:rFonts w:ascii="Times New Roman" w:eastAsia="Times New Roman" w:hAnsi="Times New Roman" w:cs="Times New Roman"/>
          <w:color w:val="auto"/>
          <w:sz w:val="24"/>
          <w:szCs w:val="24"/>
        </w:rPr>
        <w:t xml:space="preserve">, provided </w:t>
      </w:r>
      <w:r>
        <w:rPr>
          <w:rFonts w:ascii="Times New Roman" w:eastAsia="Times New Roman" w:hAnsi="Times New Roman" w:cs="Times New Roman"/>
          <w:color w:val="auto"/>
          <w:sz w:val="24"/>
          <w:szCs w:val="24"/>
        </w:rPr>
        <w:t>that written notice is given at least ten days before</w:t>
      </w:r>
      <w:r w:rsidRPr="00C57FBA">
        <w:rPr>
          <w:rFonts w:ascii="Times New Roman" w:eastAsia="Times New Roman" w:hAnsi="Times New Roman" w:cs="Times New Roman"/>
          <w:color w:val="auto"/>
          <w:sz w:val="24"/>
          <w:szCs w:val="24"/>
        </w:rPr>
        <w:t xml:space="preserve"> the vote. Family legacy clauses may only be amended by </w:t>
      </w:r>
      <w:r>
        <w:rPr>
          <w:rFonts w:ascii="Times New Roman" w:eastAsia="Times New Roman" w:hAnsi="Times New Roman" w:cs="Times New Roman"/>
          <w:color w:val="auto"/>
          <w:sz w:val="24"/>
          <w:szCs w:val="24"/>
        </w:rPr>
        <w:t xml:space="preserve">the </w:t>
      </w:r>
      <w:r w:rsidRPr="00C57FBA">
        <w:rPr>
          <w:rFonts w:ascii="Times New Roman" w:eastAsia="Times New Roman" w:hAnsi="Times New Roman" w:cs="Times New Roman"/>
          <w:color w:val="auto"/>
          <w:sz w:val="24"/>
          <w:szCs w:val="24"/>
        </w:rPr>
        <w:t>unanimous consent of all family board members.</w:t>
      </w:r>
    </w:p>
    <w:p w14:paraId="4348C05C"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9C1A8AE">
          <v:rect id="_x0000_i1031" style="width:0;height:1.5pt" o:hralign="center" o:hrstd="t" o:hr="t" fillcolor="#a0a0a0" stroked="f"/>
        </w:pict>
      </w:r>
    </w:p>
    <w:p w14:paraId="59085639"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Article VIII – Financial Oversight and Transparency</w:t>
      </w:r>
    </w:p>
    <w:p w14:paraId="2FE0A984" w14:textId="77777777"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1 – Financial Records:</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The Foundation shall maintain accurate financial records, including receipts, disbursements, budgets, and audits, which shall be made available to the board and, upon request, to the public.</w:t>
      </w:r>
    </w:p>
    <w:p w14:paraId="58D3FA81" w14:textId="77777777"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2 – Annual Report:</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An annual financial report and activity summary shall be prepared and published on the Foundation’s website.</w:t>
      </w:r>
    </w:p>
    <w:p w14:paraId="573E00A0" w14:textId="77777777"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3 – Prohibition on Private Inurement:</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No part of the Foundation’s net earnings shall benefit any private individual. Directors and officers shall not receive compensation, except for reimbursement of approved expenses.</w:t>
      </w:r>
    </w:p>
    <w:p w14:paraId="00AAEB32"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570F08F">
          <v:rect id="_x0000_i1032" style="width:0;height:1.5pt" o:hralign="center" o:hrstd="t" o:hr="t" fillcolor="#a0a0a0" stroked="f"/>
        </w:pict>
      </w:r>
    </w:p>
    <w:p w14:paraId="380D9450"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lastRenderedPageBreak/>
        <w:t>Article IX – Non-Discrimination Policy</w:t>
      </w:r>
    </w:p>
    <w:p w14:paraId="7BFF8EE9" w14:textId="1AC5B840"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 xml:space="preserve">The Foundation shall not discriminate </w:t>
      </w:r>
      <w:r>
        <w:rPr>
          <w:rFonts w:ascii="Times New Roman" w:eastAsia="Times New Roman" w:hAnsi="Times New Roman" w:cs="Times New Roman"/>
          <w:color w:val="auto"/>
          <w:sz w:val="24"/>
          <w:szCs w:val="24"/>
        </w:rPr>
        <w:t>based on</w:t>
      </w:r>
      <w:r w:rsidRPr="00C57FBA">
        <w:rPr>
          <w:rFonts w:ascii="Times New Roman" w:eastAsia="Times New Roman" w:hAnsi="Times New Roman" w:cs="Times New Roman"/>
          <w:color w:val="auto"/>
          <w:sz w:val="24"/>
          <w:szCs w:val="24"/>
        </w:rPr>
        <w:t xml:space="preserve"> race, color, religion, sex, gender identity, age, national origin, disability, marital status, or sexual orientation in any of its activities or operations.</w:t>
      </w:r>
    </w:p>
    <w:p w14:paraId="161A81C0"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8C94D27">
          <v:rect id="_x0000_i1033" style="width:0;height:1.5pt" o:hralign="center" o:hrstd="t" o:hr="t" fillcolor="#a0a0a0" stroked="f"/>
        </w:pict>
      </w:r>
    </w:p>
    <w:p w14:paraId="11F05508"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Article X – Scholarship Administration</w:t>
      </w:r>
    </w:p>
    <w:p w14:paraId="4BFAC2D0" w14:textId="38042C09"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3Char"/>
          <w:rFonts w:ascii="Times New Roman" w:hAnsi="Times New Roman" w:cs="Times New Roman"/>
          <w:color w:val="auto"/>
          <w:sz w:val="24"/>
          <w:szCs w:val="24"/>
        </w:rPr>
        <w:t>Section 1 – Application Process:</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 xml:space="preserve">All scholarship applicants </w:t>
      </w:r>
      <w:r>
        <w:rPr>
          <w:rStyle w:val="Heading3Char"/>
          <w:rFonts w:ascii="Times New Roman" w:hAnsi="Times New Roman" w:cs="Times New Roman"/>
          <w:color w:val="auto"/>
          <w:sz w:val="24"/>
          <w:szCs w:val="24"/>
        </w:rPr>
        <w:t>are required to</w:t>
      </w:r>
      <w:r w:rsidRPr="00C57FBA">
        <w:rPr>
          <w:rStyle w:val="Heading3Char"/>
          <w:rFonts w:ascii="Times New Roman" w:hAnsi="Times New Roman" w:cs="Times New Roman"/>
          <w:color w:val="auto"/>
          <w:sz w:val="24"/>
          <w:szCs w:val="24"/>
        </w:rPr>
        <w:t xml:space="preserve"> submit an essay and </w:t>
      </w:r>
      <w:r>
        <w:rPr>
          <w:rStyle w:val="Heading3Char"/>
          <w:rFonts w:ascii="Times New Roman" w:hAnsi="Times New Roman" w:cs="Times New Roman"/>
          <w:color w:val="auto"/>
          <w:sz w:val="24"/>
          <w:szCs w:val="24"/>
        </w:rPr>
        <w:t xml:space="preserve">a </w:t>
      </w:r>
      <w:r w:rsidRPr="00C57FBA">
        <w:rPr>
          <w:rStyle w:val="Heading3Char"/>
          <w:rFonts w:ascii="Times New Roman" w:hAnsi="Times New Roman" w:cs="Times New Roman"/>
          <w:color w:val="auto"/>
          <w:sz w:val="24"/>
          <w:szCs w:val="24"/>
        </w:rPr>
        <w:t>completed application form. The board will evaluate applications based on merit, community involvement, and alignment with the Foundation’s mission.</w:t>
      </w:r>
      <w:r w:rsidR="0054471E">
        <w:rPr>
          <w:rStyle w:val="Heading3Char"/>
          <w:rFonts w:ascii="Times New Roman" w:hAnsi="Times New Roman" w:cs="Times New Roman"/>
          <w:color w:val="auto"/>
          <w:sz w:val="24"/>
          <w:szCs w:val="24"/>
        </w:rPr>
        <w:t xml:space="preserve"> </w:t>
      </w:r>
    </w:p>
    <w:p w14:paraId="6E107429" w14:textId="63F9FE71"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2 – Selection and Disbursement:</w:t>
      </w:r>
      <w:r w:rsidRPr="00C57FBA">
        <w:rPr>
          <w:rFonts w:ascii="Times New Roman" w:eastAsia="Times New Roman" w:hAnsi="Times New Roman" w:cs="Times New Roman"/>
          <w:kern w:val="0"/>
          <w14:ligatures w14:val="none"/>
        </w:rPr>
        <w:br/>
      </w:r>
      <w:r w:rsidR="0054471E">
        <w:rPr>
          <w:rStyle w:val="Heading3Char"/>
          <w:rFonts w:ascii="Times New Roman" w:hAnsi="Times New Roman" w:cs="Times New Roman"/>
          <w:color w:val="auto"/>
          <w:sz w:val="24"/>
          <w:szCs w:val="24"/>
        </w:rPr>
        <w:t xml:space="preserve">The </w:t>
      </w:r>
      <w:r w:rsidR="0054471E">
        <w:rPr>
          <w:rStyle w:val="Heading3Char"/>
          <w:rFonts w:ascii="Times New Roman" w:hAnsi="Times New Roman" w:cs="Times New Roman"/>
          <w:color w:val="auto"/>
          <w:sz w:val="24"/>
          <w:szCs w:val="24"/>
        </w:rPr>
        <w:t>two</w:t>
      </w:r>
      <w:r w:rsidR="0054471E">
        <w:rPr>
          <w:rStyle w:val="Heading3Char"/>
          <w:rFonts w:ascii="Times New Roman" w:hAnsi="Times New Roman" w:cs="Times New Roman"/>
          <w:color w:val="auto"/>
          <w:sz w:val="24"/>
          <w:szCs w:val="24"/>
        </w:rPr>
        <w:t xml:space="preserve"> members at large will vet the applications for compliance and </w:t>
      </w:r>
      <w:r w:rsidR="0054471E">
        <w:rPr>
          <w:rStyle w:val="Heading3Char"/>
          <w:rFonts w:ascii="Times New Roman" w:hAnsi="Times New Roman" w:cs="Times New Roman"/>
          <w:color w:val="auto"/>
          <w:sz w:val="24"/>
          <w:szCs w:val="24"/>
        </w:rPr>
        <w:t xml:space="preserve">originality and </w:t>
      </w:r>
      <w:r w:rsidRPr="00C57FBA">
        <w:rPr>
          <w:rStyle w:val="Heading3Char"/>
          <w:rFonts w:ascii="Times New Roman" w:hAnsi="Times New Roman" w:cs="Times New Roman"/>
          <w:color w:val="auto"/>
          <w:sz w:val="24"/>
          <w:szCs w:val="24"/>
        </w:rPr>
        <w:t xml:space="preserve">will recommend awardees. Final approval requires a majority </w:t>
      </w:r>
      <w:r w:rsidR="0054471E">
        <w:rPr>
          <w:rStyle w:val="Heading3Char"/>
          <w:rFonts w:ascii="Times New Roman" w:hAnsi="Times New Roman" w:cs="Times New Roman"/>
          <w:color w:val="auto"/>
          <w:sz w:val="24"/>
          <w:szCs w:val="24"/>
        </w:rPr>
        <w:t xml:space="preserve">blind </w:t>
      </w:r>
      <w:r>
        <w:rPr>
          <w:rStyle w:val="Heading3Char"/>
          <w:rFonts w:ascii="Times New Roman" w:hAnsi="Times New Roman" w:cs="Times New Roman"/>
          <w:color w:val="auto"/>
          <w:sz w:val="24"/>
          <w:szCs w:val="24"/>
        </w:rPr>
        <w:t>vote</w:t>
      </w:r>
      <w:r w:rsidR="0054471E">
        <w:rPr>
          <w:rStyle w:val="Heading3Char"/>
          <w:rFonts w:ascii="Times New Roman" w:hAnsi="Times New Roman" w:cs="Times New Roman"/>
          <w:color w:val="auto"/>
          <w:sz w:val="24"/>
          <w:szCs w:val="24"/>
        </w:rPr>
        <w:t xml:space="preserve"> </w:t>
      </w:r>
      <w:r w:rsidR="0054471E">
        <w:rPr>
          <w:rStyle w:val="Heading3Char"/>
          <w:rFonts w:ascii="Times New Roman" w:hAnsi="Times New Roman" w:cs="Times New Roman"/>
          <w:color w:val="auto"/>
          <w:sz w:val="24"/>
          <w:szCs w:val="24"/>
        </w:rPr>
        <w:t>from the board</w:t>
      </w:r>
      <w:r w:rsidR="0054471E" w:rsidRPr="00C57FBA">
        <w:rPr>
          <w:rStyle w:val="Heading3Char"/>
          <w:rFonts w:ascii="Times New Roman" w:hAnsi="Times New Roman" w:cs="Times New Roman"/>
          <w:color w:val="auto"/>
          <w:sz w:val="24"/>
          <w:szCs w:val="24"/>
        </w:rPr>
        <w:t xml:space="preserve">. </w:t>
      </w:r>
      <w:r w:rsidR="0054471E">
        <w:rPr>
          <w:rStyle w:val="Heading3Char"/>
          <w:rFonts w:ascii="Times New Roman" w:hAnsi="Times New Roman" w:cs="Times New Roman"/>
          <w:color w:val="auto"/>
          <w:sz w:val="24"/>
          <w:szCs w:val="24"/>
        </w:rPr>
        <w:t xml:space="preserve"> (Meaning the board members will only know the applicants by application numbers, not names.) Funds</w:t>
      </w:r>
      <w:r w:rsidRPr="00C57FBA">
        <w:rPr>
          <w:rStyle w:val="Heading3Char"/>
          <w:rFonts w:ascii="Times New Roman" w:hAnsi="Times New Roman" w:cs="Times New Roman"/>
          <w:color w:val="auto"/>
          <w:sz w:val="24"/>
          <w:szCs w:val="24"/>
        </w:rPr>
        <w:t xml:space="preserve"> will be disbursed directly to educational institutions when possible.</w:t>
      </w:r>
    </w:p>
    <w:p w14:paraId="0845377E" w14:textId="64E01007" w:rsidR="00C57FBA" w:rsidRPr="00C57FBA" w:rsidRDefault="00C57FBA" w:rsidP="00C57FBA">
      <w:pPr>
        <w:spacing w:before="100" w:beforeAutospacing="1" w:after="100" w:afterAutospacing="1" w:line="480" w:lineRule="auto"/>
        <w:rPr>
          <w:rFonts w:ascii="Times New Roman" w:eastAsia="Times New Roman" w:hAnsi="Times New Roman" w:cs="Times New Roman"/>
          <w:kern w:val="0"/>
          <w14:ligatures w14:val="none"/>
        </w:rPr>
      </w:pPr>
      <w:r w:rsidRPr="00C57FBA">
        <w:rPr>
          <w:rStyle w:val="Heading2Char"/>
          <w:rFonts w:ascii="Times New Roman" w:hAnsi="Times New Roman" w:cs="Times New Roman"/>
          <w:color w:val="auto"/>
          <w:sz w:val="24"/>
          <w:szCs w:val="24"/>
        </w:rPr>
        <w:t>Section 3 – Accountability:</w:t>
      </w:r>
      <w:r w:rsidRPr="00C57FBA">
        <w:rPr>
          <w:rFonts w:ascii="Times New Roman" w:eastAsia="Times New Roman" w:hAnsi="Times New Roman" w:cs="Times New Roman"/>
          <w:kern w:val="0"/>
          <w14:ligatures w14:val="none"/>
        </w:rPr>
        <w:br/>
      </w:r>
      <w:r w:rsidRPr="00C57FBA">
        <w:rPr>
          <w:rStyle w:val="Heading3Char"/>
          <w:rFonts w:ascii="Times New Roman" w:hAnsi="Times New Roman" w:cs="Times New Roman"/>
          <w:color w:val="auto"/>
          <w:sz w:val="24"/>
          <w:szCs w:val="24"/>
        </w:rPr>
        <w:t xml:space="preserve">Recipients may be asked to provide proof of enrollment and a </w:t>
      </w:r>
      <w:r>
        <w:rPr>
          <w:rStyle w:val="Heading3Char"/>
          <w:rFonts w:ascii="Times New Roman" w:hAnsi="Times New Roman" w:cs="Times New Roman"/>
          <w:color w:val="auto"/>
          <w:sz w:val="24"/>
          <w:szCs w:val="24"/>
        </w:rPr>
        <w:t>summary of their academic year</w:t>
      </w:r>
      <w:r w:rsidRPr="00C57FBA">
        <w:rPr>
          <w:rStyle w:val="Heading3Char"/>
          <w:rFonts w:ascii="Times New Roman" w:hAnsi="Times New Roman" w:cs="Times New Roman"/>
          <w:color w:val="auto"/>
          <w:sz w:val="24"/>
          <w:szCs w:val="24"/>
        </w:rPr>
        <w:t xml:space="preserve"> at the end of their academic year.</w:t>
      </w:r>
    </w:p>
    <w:p w14:paraId="626E9425"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DA1BBA4">
          <v:rect id="_x0000_i1034" style="width:0;height:1.5pt" o:hralign="center" o:hrstd="t" o:hr="t" fillcolor="#a0a0a0" stroked="f"/>
        </w:pict>
      </w:r>
    </w:p>
    <w:p w14:paraId="47363232"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lastRenderedPageBreak/>
        <w:t>Article XI – Insurance and Indemnification</w:t>
      </w:r>
    </w:p>
    <w:p w14:paraId="05309171" w14:textId="77777777"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The Foundation shall carry Directors and Officers (D&amp;O) liability insurance. Directors and officers shall be indemnified against expenses and liabilities arising from good faith service to the Foundation, to the fullest extent allowed by law.</w:t>
      </w:r>
    </w:p>
    <w:p w14:paraId="33485765" w14:textId="77777777" w:rsidR="00C57FBA" w:rsidRPr="00C57FBA" w:rsidRDefault="00000000" w:rsidP="00C57FBA">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0A860B1">
          <v:rect id="_x0000_i1035" style="width:0;height:1.5pt" o:hralign="center" o:hrstd="t" o:hr="t" fillcolor="#a0a0a0" stroked="f"/>
        </w:pict>
      </w:r>
    </w:p>
    <w:p w14:paraId="794D9222" w14:textId="77777777" w:rsidR="00C57FBA" w:rsidRPr="00C57FBA" w:rsidRDefault="00C57FBA" w:rsidP="00C57FBA">
      <w:pPr>
        <w:pStyle w:val="Heading1"/>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Article XII – Dissolution Clause</w:t>
      </w:r>
    </w:p>
    <w:p w14:paraId="2FEC1764" w14:textId="77777777" w:rsidR="00C57FBA" w:rsidRPr="00C57FBA" w:rsidRDefault="00C57FBA" w:rsidP="00C57FBA">
      <w:pPr>
        <w:pStyle w:val="Heading2"/>
        <w:spacing w:line="480" w:lineRule="auto"/>
        <w:rPr>
          <w:rFonts w:ascii="Times New Roman" w:eastAsia="Times New Roman" w:hAnsi="Times New Roman" w:cs="Times New Roman"/>
          <w:color w:val="auto"/>
          <w:sz w:val="24"/>
          <w:szCs w:val="24"/>
        </w:rPr>
      </w:pPr>
      <w:r w:rsidRPr="00C57FBA">
        <w:rPr>
          <w:rFonts w:ascii="Times New Roman" w:eastAsia="Times New Roman" w:hAnsi="Times New Roman" w:cs="Times New Roman"/>
          <w:color w:val="auto"/>
          <w:sz w:val="24"/>
          <w:szCs w:val="24"/>
        </w:rPr>
        <w:t>Upon dissolution of the Foundation, assets shall be distributed for one or more exempt purposes within the meaning of Section 501(c)(3) of the Internal Revenue Code, preferably to another organization carrying out similar work in caregiving, health, or community service.</w:t>
      </w:r>
    </w:p>
    <w:p w14:paraId="06AE042D" w14:textId="77777777" w:rsidR="006833E0" w:rsidRPr="00C57FBA" w:rsidRDefault="006833E0" w:rsidP="00C57FBA">
      <w:pPr>
        <w:spacing w:line="480" w:lineRule="auto"/>
        <w:rPr>
          <w:rFonts w:ascii="Times New Roman" w:hAnsi="Times New Roman" w:cs="Times New Roman"/>
        </w:rPr>
      </w:pPr>
    </w:p>
    <w:sectPr w:rsidR="006833E0" w:rsidRPr="00C57FBA">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DBD14" w14:textId="77777777" w:rsidR="006D697C" w:rsidRDefault="006D697C" w:rsidP="00C57FBA">
      <w:pPr>
        <w:spacing w:after="0" w:line="240" w:lineRule="auto"/>
      </w:pPr>
      <w:r>
        <w:separator/>
      </w:r>
    </w:p>
  </w:endnote>
  <w:endnote w:type="continuationSeparator" w:id="0">
    <w:p w14:paraId="055361FA" w14:textId="77777777" w:rsidR="006D697C" w:rsidRDefault="006D697C" w:rsidP="00C5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43B9A" w14:textId="77777777" w:rsidR="006D697C" w:rsidRDefault="006D697C" w:rsidP="00C57FBA">
      <w:pPr>
        <w:spacing w:after="0" w:line="240" w:lineRule="auto"/>
      </w:pPr>
      <w:r>
        <w:separator/>
      </w:r>
    </w:p>
  </w:footnote>
  <w:footnote w:type="continuationSeparator" w:id="0">
    <w:p w14:paraId="47781522" w14:textId="77777777" w:rsidR="006D697C" w:rsidRDefault="006D697C" w:rsidP="00C57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D6B1E" w14:textId="25D15DF1" w:rsidR="00C57FBA" w:rsidRPr="00C57FBA" w:rsidRDefault="00C57FBA" w:rsidP="00C57FBA">
    <w:pPr>
      <w:spacing w:before="100" w:beforeAutospacing="1" w:after="100" w:afterAutospacing="1" w:line="240" w:lineRule="auto"/>
      <w:rPr>
        <w:rFonts w:ascii="Times New Roman" w:eastAsia="Times New Roman" w:hAnsi="Times New Roman" w:cs="Times New Roman"/>
        <w:kern w:val="0"/>
        <w14:ligatures w14:val="none"/>
      </w:rPr>
    </w:pPr>
    <w:r w:rsidRPr="00C57FBA">
      <w:rPr>
        <w:rFonts w:ascii="Times New Roman" w:eastAsia="Times New Roman" w:hAnsi="Times New Roman" w:cs="Times New Roman"/>
        <w:b/>
        <w:bCs/>
        <w:kern w:val="0"/>
        <w14:ligatures w14:val="none"/>
      </w:rPr>
      <w:t>Bylaws of the Betty Erickson Carey Foundation</w:t>
    </w:r>
    <w:r>
      <w:rPr>
        <w:rFonts w:ascii="Times New Roman" w:eastAsia="Times New Roman" w:hAnsi="Times New Roman" w:cs="Times New Roman"/>
        <w:b/>
        <w:bCs/>
        <w:kern w:val="0"/>
        <w14:ligatures w14:val="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134B7"/>
    <w:multiLevelType w:val="multilevel"/>
    <w:tmpl w:val="3574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D0491"/>
    <w:multiLevelType w:val="hybridMultilevel"/>
    <w:tmpl w:val="B7B29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590285"/>
    <w:multiLevelType w:val="multilevel"/>
    <w:tmpl w:val="C3A2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C0848"/>
    <w:multiLevelType w:val="multilevel"/>
    <w:tmpl w:val="ABEE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35F1A"/>
    <w:multiLevelType w:val="hybridMultilevel"/>
    <w:tmpl w:val="511C3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B1FC6"/>
    <w:multiLevelType w:val="hybridMultilevel"/>
    <w:tmpl w:val="326A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1A621B"/>
    <w:multiLevelType w:val="multilevel"/>
    <w:tmpl w:val="E2A0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DC7487"/>
    <w:multiLevelType w:val="hybridMultilevel"/>
    <w:tmpl w:val="5AF4A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90B7A"/>
    <w:multiLevelType w:val="hybridMultilevel"/>
    <w:tmpl w:val="0B983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14561A"/>
    <w:multiLevelType w:val="hybridMultilevel"/>
    <w:tmpl w:val="B1F24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5B3553"/>
    <w:multiLevelType w:val="multilevel"/>
    <w:tmpl w:val="D90C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8198968">
    <w:abstractNumId w:val="6"/>
  </w:num>
  <w:num w:numId="2" w16cid:durableId="1259023998">
    <w:abstractNumId w:val="10"/>
  </w:num>
  <w:num w:numId="3" w16cid:durableId="2081712280">
    <w:abstractNumId w:val="3"/>
  </w:num>
  <w:num w:numId="4" w16cid:durableId="247465727">
    <w:abstractNumId w:val="0"/>
  </w:num>
  <w:num w:numId="5" w16cid:durableId="1248617217">
    <w:abstractNumId w:val="2"/>
  </w:num>
  <w:num w:numId="6" w16cid:durableId="1856917653">
    <w:abstractNumId w:val="4"/>
  </w:num>
  <w:num w:numId="7" w16cid:durableId="2057315182">
    <w:abstractNumId w:val="8"/>
  </w:num>
  <w:num w:numId="8" w16cid:durableId="1265382298">
    <w:abstractNumId w:val="7"/>
  </w:num>
  <w:num w:numId="9" w16cid:durableId="178128659">
    <w:abstractNumId w:val="1"/>
  </w:num>
  <w:num w:numId="10" w16cid:durableId="1196849623">
    <w:abstractNumId w:val="9"/>
  </w:num>
  <w:num w:numId="11" w16cid:durableId="13060136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FBA"/>
    <w:rsid w:val="00103F5B"/>
    <w:rsid w:val="00316EE6"/>
    <w:rsid w:val="004D4D37"/>
    <w:rsid w:val="004F3675"/>
    <w:rsid w:val="0054471E"/>
    <w:rsid w:val="005F5DF6"/>
    <w:rsid w:val="006833E0"/>
    <w:rsid w:val="006D697C"/>
    <w:rsid w:val="009B77A3"/>
    <w:rsid w:val="009E3169"/>
    <w:rsid w:val="00B91234"/>
    <w:rsid w:val="00C57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7FF2BB"/>
  <w15:chartTrackingRefBased/>
  <w15:docId w15:val="{83C5BFD1-DD51-4F8F-972C-585984A07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7F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57F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57F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57F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7F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7F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7F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F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F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F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57F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57F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57F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7F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7F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7F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7F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7FBA"/>
    <w:rPr>
      <w:rFonts w:eastAsiaTheme="majorEastAsia" w:cstheme="majorBidi"/>
      <w:color w:val="272727" w:themeColor="text1" w:themeTint="D8"/>
    </w:rPr>
  </w:style>
  <w:style w:type="paragraph" w:styleId="Title">
    <w:name w:val="Title"/>
    <w:basedOn w:val="Normal"/>
    <w:next w:val="Normal"/>
    <w:link w:val="TitleChar"/>
    <w:uiPriority w:val="10"/>
    <w:qFormat/>
    <w:rsid w:val="00C57F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F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7F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7F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7FBA"/>
    <w:pPr>
      <w:spacing w:before="160"/>
      <w:jc w:val="center"/>
    </w:pPr>
    <w:rPr>
      <w:i/>
      <w:iCs/>
      <w:color w:val="404040" w:themeColor="text1" w:themeTint="BF"/>
    </w:rPr>
  </w:style>
  <w:style w:type="character" w:customStyle="1" w:styleId="QuoteChar">
    <w:name w:val="Quote Char"/>
    <w:basedOn w:val="DefaultParagraphFont"/>
    <w:link w:val="Quote"/>
    <w:uiPriority w:val="29"/>
    <w:rsid w:val="00C57FBA"/>
    <w:rPr>
      <w:i/>
      <w:iCs/>
      <w:color w:val="404040" w:themeColor="text1" w:themeTint="BF"/>
    </w:rPr>
  </w:style>
  <w:style w:type="paragraph" w:styleId="ListParagraph">
    <w:name w:val="List Paragraph"/>
    <w:basedOn w:val="Normal"/>
    <w:uiPriority w:val="34"/>
    <w:qFormat/>
    <w:rsid w:val="00C57FBA"/>
    <w:pPr>
      <w:ind w:left="720"/>
      <w:contextualSpacing/>
    </w:pPr>
  </w:style>
  <w:style w:type="character" w:styleId="IntenseEmphasis">
    <w:name w:val="Intense Emphasis"/>
    <w:basedOn w:val="DefaultParagraphFont"/>
    <w:uiPriority w:val="21"/>
    <w:qFormat/>
    <w:rsid w:val="00C57FBA"/>
    <w:rPr>
      <w:i/>
      <w:iCs/>
      <w:color w:val="2F5496" w:themeColor="accent1" w:themeShade="BF"/>
    </w:rPr>
  </w:style>
  <w:style w:type="paragraph" w:styleId="IntenseQuote">
    <w:name w:val="Intense Quote"/>
    <w:basedOn w:val="Normal"/>
    <w:next w:val="Normal"/>
    <w:link w:val="IntenseQuoteChar"/>
    <w:uiPriority w:val="30"/>
    <w:qFormat/>
    <w:rsid w:val="00C57F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7FBA"/>
    <w:rPr>
      <w:i/>
      <w:iCs/>
      <w:color w:val="2F5496" w:themeColor="accent1" w:themeShade="BF"/>
    </w:rPr>
  </w:style>
  <w:style w:type="character" w:styleId="IntenseReference">
    <w:name w:val="Intense Reference"/>
    <w:basedOn w:val="DefaultParagraphFont"/>
    <w:uiPriority w:val="32"/>
    <w:qFormat/>
    <w:rsid w:val="00C57FBA"/>
    <w:rPr>
      <w:b/>
      <w:bCs/>
      <w:smallCaps/>
      <w:color w:val="2F5496" w:themeColor="accent1" w:themeShade="BF"/>
      <w:spacing w:val="5"/>
    </w:rPr>
  </w:style>
  <w:style w:type="paragraph" w:styleId="Header">
    <w:name w:val="header"/>
    <w:basedOn w:val="Normal"/>
    <w:link w:val="HeaderChar"/>
    <w:uiPriority w:val="99"/>
    <w:unhideWhenUsed/>
    <w:rsid w:val="00C57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FBA"/>
  </w:style>
  <w:style w:type="paragraph" w:styleId="Footer">
    <w:name w:val="footer"/>
    <w:basedOn w:val="Normal"/>
    <w:link w:val="FooterChar"/>
    <w:uiPriority w:val="99"/>
    <w:unhideWhenUsed/>
    <w:rsid w:val="00C57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483571">
      <w:bodyDiv w:val="1"/>
      <w:marLeft w:val="0"/>
      <w:marRight w:val="0"/>
      <w:marTop w:val="0"/>
      <w:marBottom w:val="0"/>
      <w:divBdr>
        <w:top w:val="none" w:sz="0" w:space="0" w:color="auto"/>
        <w:left w:val="none" w:sz="0" w:space="0" w:color="auto"/>
        <w:bottom w:val="none" w:sz="0" w:space="0" w:color="auto"/>
        <w:right w:val="none" w:sz="0" w:space="0" w:color="auto"/>
      </w:divBdr>
      <w:divsChild>
        <w:div w:id="1551725935">
          <w:marLeft w:val="0"/>
          <w:marRight w:val="0"/>
          <w:marTop w:val="0"/>
          <w:marBottom w:val="0"/>
          <w:divBdr>
            <w:top w:val="none" w:sz="0" w:space="0" w:color="auto"/>
            <w:left w:val="none" w:sz="0" w:space="0" w:color="auto"/>
            <w:bottom w:val="none" w:sz="0" w:space="0" w:color="auto"/>
            <w:right w:val="none" w:sz="0" w:space="0" w:color="auto"/>
          </w:divBdr>
        </w:div>
        <w:div w:id="1873833855">
          <w:marLeft w:val="0"/>
          <w:marRight w:val="0"/>
          <w:marTop w:val="0"/>
          <w:marBottom w:val="0"/>
          <w:divBdr>
            <w:top w:val="none" w:sz="0" w:space="0" w:color="auto"/>
            <w:left w:val="none" w:sz="0" w:space="0" w:color="auto"/>
            <w:bottom w:val="none" w:sz="0" w:space="0" w:color="auto"/>
            <w:right w:val="none" w:sz="0" w:space="0" w:color="auto"/>
          </w:divBdr>
        </w:div>
        <w:div w:id="1558589174">
          <w:marLeft w:val="0"/>
          <w:marRight w:val="0"/>
          <w:marTop w:val="0"/>
          <w:marBottom w:val="0"/>
          <w:divBdr>
            <w:top w:val="none" w:sz="0" w:space="0" w:color="auto"/>
            <w:left w:val="none" w:sz="0" w:space="0" w:color="auto"/>
            <w:bottom w:val="none" w:sz="0" w:space="0" w:color="auto"/>
            <w:right w:val="none" w:sz="0" w:space="0" w:color="auto"/>
          </w:divBdr>
        </w:div>
        <w:div w:id="1392464655">
          <w:marLeft w:val="0"/>
          <w:marRight w:val="0"/>
          <w:marTop w:val="0"/>
          <w:marBottom w:val="0"/>
          <w:divBdr>
            <w:top w:val="none" w:sz="0" w:space="0" w:color="auto"/>
            <w:left w:val="none" w:sz="0" w:space="0" w:color="auto"/>
            <w:bottom w:val="none" w:sz="0" w:space="0" w:color="auto"/>
            <w:right w:val="none" w:sz="0" w:space="0" w:color="auto"/>
          </w:divBdr>
        </w:div>
        <w:div w:id="1920552368">
          <w:marLeft w:val="0"/>
          <w:marRight w:val="0"/>
          <w:marTop w:val="0"/>
          <w:marBottom w:val="0"/>
          <w:divBdr>
            <w:top w:val="none" w:sz="0" w:space="0" w:color="auto"/>
            <w:left w:val="none" w:sz="0" w:space="0" w:color="auto"/>
            <w:bottom w:val="none" w:sz="0" w:space="0" w:color="auto"/>
            <w:right w:val="none" w:sz="0" w:space="0" w:color="auto"/>
          </w:divBdr>
        </w:div>
        <w:div w:id="1803813576">
          <w:marLeft w:val="0"/>
          <w:marRight w:val="0"/>
          <w:marTop w:val="0"/>
          <w:marBottom w:val="0"/>
          <w:divBdr>
            <w:top w:val="none" w:sz="0" w:space="0" w:color="auto"/>
            <w:left w:val="none" w:sz="0" w:space="0" w:color="auto"/>
            <w:bottom w:val="none" w:sz="0" w:space="0" w:color="auto"/>
            <w:right w:val="none" w:sz="0" w:space="0" w:color="auto"/>
          </w:divBdr>
        </w:div>
        <w:div w:id="906188611">
          <w:marLeft w:val="0"/>
          <w:marRight w:val="0"/>
          <w:marTop w:val="0"/>
          <w:marBottom w:val="0"/>
          <w:divBdr>
            <w:top w:val="none" w:sz="0" w:space="0" w:color="auto"/>
            <w:left w:val="none" w:sz="0" w:space="0" w:color="auto"/>
            <w:bottom w:val="none" w:sz="0" w:space="0" w:color="auto"/>
            <w:right w:val="none" w:sz="0" w:space="0" w:color="auto"/>
          </w:divBdr>
        </w:div>
        <w:div w:id="1119110783">
          <w:marLeft w:val="0"/>
          <w:marRight w:val="0"/>
          <w:marTop w:val="0"/>
          <w:marBottom w:val="0"/>
          <w:divBdr>
            <w:top w:val="none" w:sz="0" w:space="0" w:color="auto"/>
            <w:left w:val="none" w:sz="0" w:space="0" w:color="auto"/>
            <w:bottom w:val="none" w:sz="0" w:space="0" w:color="auto"/>
            <w:right w:val="none" w:sz="0" w:space="0" w:color="auto"/>
          </w:divBdr>
        </w:div>
        <w:div w:id="402064471">
          <w:marLeft w:val="0"/>
          <w:marRight w:val="0"/>
          <w:marTop w:val="0"/>
          <w:marBottom w:val="0"/>
          <w:divBdr>
            <w:top w:val="none" w:sz="0" w:space="0" w:color="auto"/>
            <w:left w:val="none" w:sz="0" w:space="0" w:color="auto"/>
            <w:bottom w:val="none" w:sz="0" w:space="0" w:color="auto"/>
            <w:right w:val="none" w:sz="0" w:space="0" w:color="auto"/>
          </w:divBdr>
        </w:div>
        <w:div w:id="2021156376">
          <w:marLeft w:val="0"/>
          <w:marRight w:val="0"/>
          <w:marTop w:val="0"/>
          <w:marBottom w:val="0"/>
          <w:divBdr>
            <w:top w:val="none" w:sz="0" w:space="0" w:color="auto"/>
            <w:left w:val="none" w:sz="0" w:space="0" w:color="auto"/>
            <w:bottom w:val="none" w:sz="0" w:space="0" w:color="auto"/>
            <w:right w:val="none" w:sz="0" w:space="0" w:color="auto"/>
          </w:divBdr>
        </w:div>
        <w:div w:id="1550340854">
          <w:marLeft w:val="0"/>
          <w:marRight w:val="0"/>
          <w:marTop w:val="0"/>
          <w:marBottom w:val="0"/>
          <w:divBdr>
            <w:top w:val="none" w:sz="0" w:space="0" w:color="auto"/>
            <w:left w:val="none" w:sz="0" w:space="0" w:color="auto"/>
            <w:bottom w:val="none" w:sz="0" w:space="0" w:color="auto"/>
            <w:right w:val="none" w:sz="0" w:space="0" w:color="auto"/>
          </w:divBdr>
        </w:div>
        <w:div w:id="1510366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1092</Words>
  <Characters>6207</Characters>
  <Application>Microsoft Office Word</Application>
  <DocSecurity>0</DocSecurity>
  <Lines>126</Lines>
  <Paragraphs>63</Paragraphs>
  <ScaleCrop>false</ScaleCrop>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colton otto</dc:creator>
  <cp:keywords/>
  <dc:description/>
  <cp:lastModifiedBy>colton otto</cp:lastModifiedBy>
  <cp:revision>2</cp:revision>
  <dcterms:created xsi:type="dcterms:W3CDTF">2025-07-21T19:41:00Z</dcterms:created>
  <dcterms:modified xsi:type="dcterms:W3CDTF">2025-07-21T19:41:00Z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7f2122cf-9519-431c-b18c-45a34b38cb92</vt:lpwstr>
  </property>
</Properties>
</file>